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2478B" w:rsidR="0022478B" w:rsidP="0022478B" w:rsidRDefault="0022478B" w14:paraId="3FE663D3" w14:textId="118C7577">
      <w:pPr>
        <w:spacing w:before="100" w:beforeAutospacing="1" w:after="100" w:afterAutospacing="1"/>
        <w:jc w:val="center"/>
        <w:rPr>
          <w:rFonts w:ascii="Times New Roman" w:hAnsi="Times New Roman" w:cs="Times New Roman"/>
        </w:rPr>
      </w:pPr>
      <w:r w:rsidRPr="0022478B">
        <w:rPr>
          <w:rFonts w:ascii="Times New Roman" w:hAnsi="Times New Roman" w:cs="Times New Roman"/>
          <w:b/>
          <w:bCs/>
        </w:rPr>
        <w:t xml:space="preserve">Plan Year </w:t>
      </w:r>
      <w:r w:rsidR="00B549BF">
        <w:rPr>
          <w:rFonts w:ascii="Times New Roman" w:hAnsi="Times New Roman" w:cs="Times New Roman"/>
          <w:b/>
          <w:bCs/>
        </w:rPr>
        <w:t>2018</w:t>
      </w:r>
    </w:p>
    <w:tbl>
      <w:tblPr>
        <w:tblW w:w="4313" w:type="pct"/>
        <w:jc w:val="center"/>
        <w:tblCellSpacing w:w="0" w:type="dxa"/>
        <w:tblBorders>
          <w:top w:val="outset" w:color="EFEFEF" w:sz="6" w:space="0"/>
          <w:left w:val="outset" w:color="EFEFEF" w:sz="6" w:space="0"/>
          <w:bottom w:val="outset" w:color="EFEFEF" w:sz="6" w:space="0"/>
          <w:right w:val="outset" w:color="EFEFEF" w:sz="6" w:space="0"/>
        </w:tblBorders>
        <w:tblCellMar>
          <w:top w:w="20" w:type="dxa"/>
          <w:left w:w="20" w:type="dxa"/>
          <w:bottom w:w="20" w:type="dxa"/>
          <w:right w:w="20" w:type="dxa"/>
        </w:tblCellMar>
        <w:tblLook w:val="04A0" w:firstRow="1" w:lastRow="0" w:firstColumn="1" w:lastColumn="0" w:noHBand="0" w:noVBand="1"/>
      </w:tblPr>
      <w:tblGrid>
        <w:gridCol w:w="2860"/>
        <w:gridCol w:w="1279"/>
        <w:gridCol w:w="1478"/>
        <w:gridCol w:w="1146"/>
        <w:gridCol w:w="1297"/>
      </w:tblGrid>
      <w:tr w:rsidRPr="0022478B" w:rsidR="009B2B51" w:rsidTr="009B2B51" w14:paraId="189E7400" w14:textId="77777777">
        <w:trPr>
          <w:tblCellSpacing w:w="0" w:type="dxa"/>
          <w:jc w:val="center"/>
        </w:trPr>
        <w:tc>
          <w:tcPr>
            <w:tcW w:w="2860" w:type="dxa"/>
            <w:tcBorders>
              <w:top w:val="outset" w:color="EFEFEF" w:sz="6" w:space="0"/>
              <w:left w:val="outset" w:color="EFEFEF" w:sz="6" w:space="0"/>
              <w:bottom w:val="outset" w:color="EFEFEF" w:sz="6" w:space="0"/>
              <w:right w:val="outset" w:color="EFEFEF" w:sz="6" w:space="0"/>
            </w:tcBorders>
            <w:shd w:val="clear" w:color="auto" w:fill="4F81BD"/>
            <w:hideMark/>
          </w:tcPr>
          <w:p w:rsidRPr="0022478B" w:rsidR="009B2B51" w:rsidP="0022478B" w:rsidRDefault="009B2B51" w14:paraId="04906A1A" w14:textId="77777777">
            <w:pPr>
              <w:spacing w:before="100" w:beforeAutospacing="1" w:after="100" w:afterAutospacing="1"/>
              <w:rPr>
                <w:rFonts w:ascii="Times New Roman" w:hAnsi="Times New Roman" w:cs="Times New Roman"/>
              </w:rPr>
            </w:pPr>
            <w:r w:rsidRPr="0022478B">
              <w:rPr>
                <w:rFonts w:ascii="Times New Roman" w:hAnsi="Times New Roman" w:cs="Times New Roman"/>
                <w:b/>
                <w:bCs/>
              </w:rPr>
              <w:t xml:space="preserve">Coverage </w:t>
            </w:r>
            <w:r>
              <w:rPr>
                <w:rFonts w:ascii="Times New Roman" w:hAnsi="Times New Roman" w:cs="Times New Roman"/>
                <w:b/>
                <w:bCs/>
              </w:rPr>
              <w:t>Level</w:t>
            </w:r>
          </w:p>
        </w:tc>
        <w:tc>
          <w:tcPr>
            <w:tcW w:w="2757" w:type="dxa"/>
            <w:gridSpan w:val="2"/>
            <w:tcBorders>
              <w:top w:val="outset" w:color="EFEFEF" w:sz="6" w:space="0"/>
              <w:left w:val="outset" w:color="EFEFEF" w:sz="6" w:space="0"/>
              <w:bottom w:val="outset" w:color="EFEFEF" w:sz="6" w:space="0"/>
              <w:right w:val="outset" w:color="EFEFEF" w:sz="6" w:space="0"/>
            </w:tcBorders>
            <w:shd w:val="clear" w:color="auto" w:fill="4F81BD"/>
          </w:tcPr>
          <w:p w:rsidRPr="0022478B" w:rsidR="009B2B51" w:rsidP="0022478B" w:rsidRDefault="009B2B51" w14:paraId="33430FC2" w14:textId="77777777">
            <w:pPr>
              <w:spacing w:before="100" w:beforeAutospacing="1" w:after="100" w:afterAutospacing="1"/>
              <w:jc w:val="center"/>
              <w:rPr>
                <w:rFonts w:ascii="Times New Roman" w:hAnsi="Times New Roman" w:cs="Times New Roman"/>
              </w:rPr>
            </w:pPr>
            <w:r w:rsidRPr="0022478B">
              <w:rPr>
                <w:rFonts w:ascii="Times New Roman" w:hAnsi="Times New Roman" w:cs="Times New Roman"/>
                <w:b/>
                <w:bCs/>
              </w:rPr>
              <w:t>HMO</w:t>
            </w:r>
          </w:p>
        </w:tc>
        <w:tc>
          <w:tcPr>
            <w:tcW w:w="2443" w:type="dxa"/>
            <w:gridSpan w:val="2"/>
            <w:tcBorders>
              <w:top w:val="outset" w:color="EFEFEF" w:sz="6" w:space="0"/>
              <w:left w:val="outset" w:color="EFEFEF" w:sz="6" w:space="0"/>
              <w:bottom w:val="outset" w:color="EFEFEF" w:sz="6" w:space="0"/>
              <w:right w:val="outset" w:color="EFEFEF" w:sz="6" w:space="0"/>
            </w:tcBorders>
            <w:shd w:val="clear" w:color="auto" w:fill="4F81BD"/>
          </w:tcPr>
          <w:p w:rsidRPr="0022478B" w:rsidR="009B2B51" w:rsidP="0022478B" w:rsidRDefault="009B2B51" w14:paraId="2EC054AD" w14:textId="77777777">
            <w:pPr>
              <w:spacing w:before="100" w:beforeAutospacing="1" w:after="100" w:afterAutospacing="1"/>
              <w:jc w:val="center"/>
              <w:rPr>
                <w:rFonts w:ascii="Times New Roman" w:hAnsi="Times New Roman" w:cs="Times New Roman"/>
              </w:rPr>
            </w:pPr>
            <w:r w:rsidRPr="0022478B">
              <w:rPr>
                <w:rFonts w:ascii="Times New Roman" w:hAnsi="Times New Roman" w:cs="Times New Roman"/>
                <w:b/>
                <w:bCs/>
              </w:rPr>
              <w:t>PPO</w:t>
            </w:r>
          </w:p>
        </w:tc>
      </w:tr>
      <w:tr w:rsidRPr="0022478B" w:rsidR="009B2B51" w:rsidTr="009B2B51" w14:paraId="74F48BB7" w14:textId="77777777">
        <w:trPr>
          <w:tblCellSpacing w:w="0" w:type="dxa"/>
          <w:jc w:val="center"/>
        </w:trPr>
        <w:tc>
          <w:tcPr>
            <w:tcW w:w="2860" w:type="dxa"/>
            <w:tcBorders>
              <w:top w:val="outset" w:color="EFEFEF" w:sz="6" w:space="0"/>
              <w:left w:val="outset" w:color="EFEFEF" w:sz="6" w:space="0"/>
              <w:bottom w:val="outset" w:color="EFEFEF" w:sz="6" w:space="0"/>
              <w:right w:val="outset" w:color="EFEFEF" w:sz="6" w:space="0"/>
            </w:tcBorders>
            <w:shd w:val="clear" w:color="auto" w:fill="E9EDF4"/>
          </w:tcPr>
          <w:p w:rsidRPr="0022478B" w:rsidR="009B2B51" w:rsidP="0022478B" w:rsidRDefault="009B2B51" w14:paraId="11D4E364" w14:textId="77777777">
            <w:pPr>
              <w:spacing w:before="100" w:beforeAutospacing="1" w:after="100" w:afterAutospacing="1"/>
              <w:rPr>
                <w:rFonts w:ascii="Times New Roman" w:hAnsi="Times New Roman" w:cs="Times New Roman"/>
              </w:rPr>
            </w:pPr>
          </w:p>
        </w:tc>
        <w:tc>
          <w:tcPr>
            <w:tcW w:w="1279" w:type="dxa"/>
            <w:tcBorders>
              <w:top w:val="outset" w:color="EFEFEF" w:sz="6" w:space="0"/>
              <w:left w:val="outset" w:color="EFEFEF" w:sz="6" w:space="0"/>
              <w:bottom w:val="outset" w:color="EFEFEF" w:sz="6" w:space="0"/>
              <w:right w:val="outset" w:color="EFEFEF" w:sz="6" w:space="0"/>
            </w:tcBorders>
            <w:shd w:val="clear" w:color="auto" w:fill="E9EDF4"/>
          </w:tcPr>
          <w:p w:rsidRPr="0022478B" w:rsidR="009B2B51" w:rsidP="0022478B" w:rsidRDefault="009B2B51" w14:paraId="2F24406E" w14:textId="77777777">
            <w:pPr>
              <w:spacing w:before="100" w:beforeAutospacing="1" w:after="100" w:afterAutospacing="1"/>
              <w:jc w:val="center"/>
              <w:rPr>
                <w:rFonts w:ascii="Times New Roman" w:hAnsi="Times New Roman" w:cs="Times New Roman"/>
              </w:rPr>
            </w:pPr>
            <w:r>
              <w:rPr>
                <w:rFonts w:ascii="Times New Roman" w:hAnsi="Times New Roman" w:cs="Times New Roman"/>
              </w:rPr>
              <w:t>UC</w:t>
            </w:r>
          </w:p>
        </w:tc>
        <w:tc>
          <w:tcPr>
            <w:tcW w:w="1478" w:type="dxa"/>
            <w:tcBorders>
              <w:top w:val="outset" w:color="EFEFEF" w:sz="6" w:space="0"/>
              <w:left w:val="outset" w:color="EFEFEF" w:sz="6" w:space="0"/>
              <w:bottom w:val="outset" w:color="EFEFEF" w:sz="6" w:space="0"/>
              <w:right w:val="outset" w:color="EFEFEF" w:sz="6" w:space="0"/>
            </w:tcBorders>
            <w:shd w:val="clear" w:color="auto" w:fill="E9EDF4"/>
          </w:tcPr>
          <w:p w:rsidRPr="0022478B" w:rsidR="009B2B51" w:rsidP="0022478B" w:rsidRDefault="009B2B51" w14:paraId="1CC89248" w14:textId="77777777">
            <w:pPr>
              <w:spacing w:before="100" w:beforeAutospacing="1" w:after="100" w:afterAutospacing="1"/>
              <w:jc w:val="center"/>
              <w:rPr>
                <w:rFonts w:ascii="Times New Roman" w:hAnsi="Times New Roman" w:cs="Times New Roman"/>
              </w:rPr>
            </w:pPr>
            <w:r>
              <w:rPr>
                <w:rFonts w:ascii="Times New Roman" w:hAnsi="Times New Roman" w:cs="Times New Roman"/>
              </w:rPr>
              <w:t>Postdoctoral Scholar Contribution</w:t>
            </w:r>
          </w:p>
        </w:tc>
        <w:tc>
          <w:tcPr>
            <w:tcW w:w="1146" w:type="dxa"/>
            <w:tcBorders>
              <w:top w:val="outset" w:color="EFEFEF" w:sz="6" w:space="0"/>
              <w:left w:val="outset" w:color="EFEFEF" w:sz="6" w:space="0"/>
              <w:bottom w:val="outset" w:color="EFEFEF" w:sz="6" w:space="0"/>
              <w:right w:val="outset" w:color="EFEFEF" w:sz="6" w:space="0"/>
            </w:tcBorders>
            <w:shd w:val="clear" w:color="auto" w:fill="E9EDF4"/>
          </w:tcPr>
          <w:p w:rsidRPr="0022478B" w:rsidR="009B2B51" w:rsidP="0022478B" w:rsidRDefault="009B2B51" w14:paraId="55A09139" w14:textId="77777777">
            <w:pPr>
              <w:spacing w:before="100" w:beforeAutospacing="1" w:after="100" w:afterAutospacing="1"/>
              <w:jc w:val="center"/>
              <w:rPr>
                <w:rFonts w:ascii="Times New Roman" w:hAnsi="Times New Roman" w:cs="Times New Roman"/>
              </w:rPr>
            </w:pPr>
            <w:r>
              <w:rPr>
                <w:rFonts w:ascii="Times New Roman" w:hAnsi="Times New Roman" w:cs="Times New Roman"/>
              </w:rPr>
              <w:t>UC</w:t>
            </w:r>
          </w:p>
        </w:tc>
        <w:tc>
          <w:tcPr>
            <w:tcW w:w="1297" w:type="dxa"/>
            <w:tcBorders>
              <w:top w:val="outset" w:color="EFEFEF" w:sz="6" w:space="0"/>
              <w:left w:val="outset" w:color="EFEFEF" w:sz="6" w:space="0"/>
              <w:bottom w:val="outset" w:color="EFEFEF" w:sz="6" w:space="0"/>
              <w:right w:val="outset" w:color="EFEFEF" w:sz="6" w:space="0"/>
            </w:tcBorders>
            <w:shd w:val="clear" w:color="auto" w:fill="E9EDF4"/>
          </w:tcPr>
          <w:p w:rsidRPr="0022478B" w:rsidR="009B2B51" w:rsidP="0022478B" w:rsidRDefault="009B2B51" w14:paraId="0BF012F9" w14:textId="77777777">
            <w:pPr>
              <w:spacing w:before="100" w:beforeAutospacing="1" w:after="100" w:afterAutospacing="1"/>
              <w:jc w:val="center"/>
              <w:rPr>
                <w:rFonts w:ascii="Times New Roman" w:hAnsi="Times New Roman" w:cs="Times New Roman"/>
              </w:rPr>
            </w:pPr>
            <w:r>
              <w:rPr>
                <w:rFonts w:ascii="Times New Roman" w:hAnsi="Times New Roman" w:cs="Times New Roman"/>
              </w:rPr>
              <w:t>Postdoctoral Scholar Contribution</w:t>
            </w:r>
          </w:p>
        </w:tc>
      </w:tr>
      <w:tr w:rsidRPr="0022478B" w:rsidR="009B2B51" w:rsidTr="009B2B51" w14:paraId="147C75FA" w14:textId="77777777">
        <w:trPr>
          <w:tblCellSpacing w:w="0" w:type="dxa"/>
          <w:jc w:val="center"/>
        </w:trPr>
        <w:tc>
          <w:tcPr>
            <w:tcW w:w="2860" w:type="dxa"/>
            <w:tcBorders>
              <w:top w:val="outset" w:color="EFEFEF" w:sz="6" w:space="0"/>
              <w:left w:val="outset" w:color="EFEFEF" w:sz="6" w:space="0"/>
              <w:bottom w:val="outset" w:color="EFEFEF" w:sz="6" w:space="0"/>
              <w:right w:val="outset" w:color="EFEFEF" w:sz="6" w:space="0"/>
            </w:tcBorders>
            <w:shd w:val="clear" w:color="auto" w:fill="E9EDF4"/>
            <w:hideMark/>
          </w:tcPr>
          <w:p w:rsidRPr="0022478B" w:rsidR="009B2B51" w:rsidP="0022478B" w:rsidRDefault="009B2B51" w14:paraId="64A0E72F" w14:textId="77777777">
            <w:pPr>
              <w:spacing w:before="100" w:beforeAutospacing="1" w:after="100" w:afterAutospacing="1"/>
              <w:rPr>
                <w:rFonts w:ascii="Times New Roman" w:hAnsi="Times New Roman" w:cs="Times New Roman"/>
              </w:rPr>
            </w:pPr>
            <w:r w:rsidRPr="0022478B">
              <w:rPr>
                <w:rFonts w:ascii="Times New Roman" w:hAnsi="Times New Roman" w:cs="Times New Roman"/>
              </w:rPr>
              <w:t>Postdoc</w:t>
            </w:r>
          </w:p>
        </w:tc>
        <w:tc>
          <w:tcPr>
            <w:tcW w:w="1279" w:type="dxa"/>
            <w:tcBorders>
              <w:top w:val="outset" w:color="EFEFEF" w:sz="6" w:space="0"/>
              <w:left w:val="outset" w:color="EFEFEF" w:sz="6" w:space="0"/>
              <w:bottom w:val="outset" w:color="EFEFEF" w:sz="6" w:space="0"/>
              <w:right w:val="outset" w:color="EFEFEF" w:sz="6" w:space="0"/>
            </w:tcBorders>
            <w:shd w:val="clear" w:color="auto" w:fill="E9EDF4"/>
          </w:tcPr>
          <w:p w:rsidRPr="0022478B" w:rsidR="009B2B51" w:rsidP="00B549BF" w:rsidRDefault="009B2B51" w14:paraId="0BD1F216" w14:textId="4293D0DD">
            <w:pPr>
              <w:spacing w:before="100" w:beforeAutospacing="1" w:after="100" w:afterAutospacing="1"/>
              <w:jc w:val="center"/>
              <w:rPr>
                <w:rFonts w:ascii="Times New Roman" w:hAnsi="Times New Roman" w:cs="Times New Roman"/>
              </w:rPr>
            </w:pPr>
            <w:r>
              <w:rPr>
                <w:rFonts w:ascii="Times New Roman" w:hAnsi="Times New Roman" w:cs="Times New Roman"/>
              </w:rPr>
              <w:t>$   538.94</w:t>
            </w:r>
          </w:p>
        </w:tc>
        <w:tc>
          <w:tcPr>
            <w:tcW w:w="1478" w:type="dxa"/>
            <w:tcBorders>
              <w:top w:val="outset" w:color="EFEFEF" w:sz="6" w:space="0"/>
              <w:left w:val="outset" w:color="EFEFEF" w:sz="6" w:space="0"/>
              <w:bottom w:val="outset" w:color="EFEFEF" w:sz="6" w:space="0"/>
              <w:right w:val="outset" w:color="EFEFEF" w:sz="6" w:space="0"/>
            </w:tcBorders>
            <w:shd w:val="clear" w:color="auto" w:fill="E9EDF4"/>
            <w:hideMark/>
          </w:tcPr>
          <w:p w:rsidRPr="0022478B" w:rsidR="009B2B51" w:rsidP="0022478B" w:rsidRDefault="009B2B51" w14:paraId="1040DAB6" w14:textId="7E5B3B55">
            <w:pPr>
              <w:spacing w:before="100" w:beforeAutospacing="1" w:after="100" w:afterAutospacing="1"/>
              <w:jc w:val="center"/>
              <w:rPr>
                <w:rFonts w:ascii="Times New Roman" w:hAnsi="Times New Roman" w:cs="Times New Roman"/>
              </w:rPr>
            </w:pPr>
            <w:r w:rsidRPr="0022478B">
              <w:rPr>
                <w:rFonts w:ascii="Times New Roman" w:hAnsi="Times New Roman" w:cs="Times New Roman"/>
              </w:rPr>
              <w:t>$10.</w:t>
            </w:r>
            <w:r>
              <w:rPr>
                <w:rFonts w:ascii="Times New Roman" w:hAnsi="Times New Roman" w:cs="Times New Roman"/>
              </w:rPr>
              <w:t>78</w:t>
            </w:r>
          </w:p>
        </w:tc>
        <w:tc>
          <w:tcPr>
            <w:tcW w:w="1146" w:type="dxa"/>
            <w:tcBorders>
              <w:top w:val="outset" w:color="EFEFEF" w:sz="6" w:space="0"/>
              <w:left w:val="outset" w:color="EFEFEF" w:sz="6" w:space="0"/>
              <w:bottom w:val="outset" w:color="EFEFEF" w:sz="6" w:space="0"/>
              <w:right w:val="outset" w:color="EFEFEF" w:sz="6" w:space="0"/>
            </w:tcBorders>
            <w:shd w:val="clear" w:color="auto" w:fill="E9EDF4"/>
          </w:tcPr>
          <w:p w:rsidRPr="0022478B" w:rsidR="009B2B51" w:rsidP="00B549BF" w:rsidRDefault="009B2B51" w14:paraId="23132BBF" w14:textId="580751A3">
            <w:pPr>
              <w:spacing w:before="100" w:beforeAutospacing="1" w:after="100" w:afterAutospacing="1"/>
              <w:jc w:val="center"/>
              <w:rPr>
                <w:rFonts w:ascii="Times New Roman" w:hAnsi="Times New Roman" w:cs="Times New Roman"/>
              </w:rPr>
            </w:pPr>
            <w:r>
              <w:rPr>
                <w:rFonts w:ascii="Times New Roman" w:hAnsi="Times New Roman" w:cs="Times New Roman"/>
              </w:rPr>
              <w:t>$   499.36</w:t>
            </w:r>
          </w:p>
        </w:tc>
        <w:tc>
          <w:tcPr>
            <w:tcW w:w="1297" w:type="dxa"/>
            <w:tcBorders>
              <w:top w:val="outset" w:color="EFEFEF" w:sz="6" w:space="0"/>
              <w:left w:val="outset" w:color="EFEFEF" w:sz="6" w:space="0"/>
              <w:bottom w:val="outset" w:color="EFEFEF" w:sz="6" w:space="0"/>
              <w:right w:val="outset" w:color="EFEFEF" w:sz="6" w:space="0"/>
            </w:tcBorders>
            <w:shd w:val="clear" w:color="auto" w:fill="E9EDF4"/>
            <w:hideMark/>
          </w:tcPr>
          <w:p w:rsidRPr="0022478B" w:rsidR="009B2B51" w:rsidP="0022478B" w:rsidRDefault="009B2B51" w14:paraId="3181F7A2" w14:textId="77777777">
            <w:pPr>
              <w:spacing w:before="100" w:beforeAutospacing="1" w:after="100" w:afterAutospacing="1"/>
              <w:jc w:val="center"/>
              <w:rPr>
                <w:rFonts w:ascii="Times New Roman" w:hAnsi="Times New Roman" w:cs="Times New Roman"/>
              </w:rPr>
            </w:pPr>
            <w:r w:rsidRPr="0022478B">
              <w:rPr>
                <w:rFonts w:ascii="Times New Roman" w:hAnsi="Times New Roman" w:cs="Times New Roman"/>
              </w:rPr>
              <w:t>$20</w:t>
            </w:r>
          </w:p>
        </w:tc>
      </w:tr>
      <w:tr w:rsidRPr="0022478B" w:rsidR="009B2B51" w:rsidTr="009B2B51" w14:paraId="4A882631" w14:textId="77777777">
        <w:trPr>
          <w:tblCellSpacing w:w="0" w:type="dxa"/>
          <w:jc w:val="center"/>
        </w:trPr>
        <w:tc>
          <w:tcPr>
            <w:tcW w:w="2860" w:type="dxa"/>
            <w:tcBorders>
              <w:top w:val="outset" w:color="EFEFEF" w:sz="6" w:space="0"/>
              <w:left w:val="outset" w:color="EFEFEF" w:sz="6" w:space="0"/>
              <w:bottom w:val="outset" w:color="EFEFEF" w:sz="6" w:space="0"/>
              <w:right w:val="outset" w:color="EFEFEF" w:sz="6" w:space="0"/>
            </w:tcBorders>
            <w:shd w:val="clear" w:color="auto" w:fill="B6CBF5"/>
            <w:hideMark/>
          </w:tcPr>
          <w:p w:rsidRPr="0022478B" w:rsidR="009B2B51" w:rsidP="0022478B" w:rsidRDefault="009B2B51" w14:paraId="05C6BC89" w14:textId="77777777">
            <w:pPr>
              <w:spacing w:before="100" w:beforeAutospacing="1" w:after="100" w:afterAutospacing="1"/>
              <w:rPr>
                <w:rFonts w:ascii="Times New Roman" w:hAnsi="Times New Roman" w:cs="Times New Roman"/>
              </w:rPr>
            </w:pPr>
            <w:r w:rsidRPr="0022478B">
              <w:rPr>
                <w:rFonts w:ascii="Times New Roman" w:hAnsi="Times New Roman" w:cs="Times New Roman"/>
              </w:rPr>
              <w:t xml:space="preserve">Postdoc + Partner </w:t>
            </w:r>
          </w:p>
        </w:tc>
        <w:tc>
          <w:tcPr>
            <w:tcW w:w="1279" w:type="dxa"/>
            <w:tcBorders>
              <w:top w:val="outset" w:color="EFEFEF" w:sz="6" w:space="0"/>
              <w:left w:val="outset" w:color="EFEFEF" w:sz="6" w:space="0"/>
              <w:bottom w:val="outset" w:color="EFEFEF" w:sz="6" w:space="0"/>
              <w:right w:val="outset" w:color="EFEFEF" w:sz="6" w:space="0"/>
            </w:tcBorders>
            <w:shd w:val="clear" w:color="auto" w:fill="B6CBF5"/>
          </w:tcPr>
          <w:p w:rsidRPr="0022478B" w:rsidR="009B2B51" w:rsidP="00B609F7" w:rsidRDefault="009B2B51" w14:paraId="343B768A" w14:textId="1871D152">
            <w:pPr>
              <w:spacing w:before="100" w:beforeAutospacing="1" w:after="100" w:afterAutospacing="1"/>
              <w:jc w:val="center"/>
              <w:rPr>
                <w:rFonts w:ascii="Times New Roman" w:hAnsi="Times New Roman" w:cs="Times New Roman"/>
              </w:rPr>
            </w:pPr>
            <w:r>
              <w:rPr>
                <w:rFonts w:ascii="Times New Roman" w:hAnsi="Times New Roman" w:cs="Times New Roman"/>
              </w:rPr>
              <w:t>$1,</w:t>
            </w:r>
            <w:r w:rsidR="00B609F7">
              <w:rPr>
                <w:rFonts w:ascii="Times New Roman" w:hAnsi="Times New Roman" w:cs="Times New Roman"/>
              </w:rPr>
              <w:t>293.57</w:t>
            </w:r>
          </w:p>
        </w:tc>
        <w:tc>
          <w:tcPr>
            <w:tcW w:w="1478" w:type="dxa"/>
            <w:tcBorders>
              <w:top w:val="outset" w:color="EFEFEF" w:sz="6" w:space="0"/>
              <w:left w:val="outset" w:color="EFEFEF" w:sz="6" w:space="0"/>
              <w:bottom w:val="outset" w:color="EFEFEF" w:sz="6" w:space="0"/>
              <w:right w:val="outset" w:color="EFEFEF" w:sz="6" w:space="0"/>
            </w:tcBorders>
            <w:shd w:val="clear" w:color="auto" w:fill="B6CBF5"/>
            <w:hideMark/>
          </w:tcPr>
          <w:p w:rsidRPr="0022478B" w:rsidR="009B2B51" w:rsidP="00B609F7" w:rsidRDefault="009B2B51" w14:paraId="683F4A65" w14:textId="390356AC">
            <w:pPr>
              <w:spacing w:before="100" w:beforeAutospacing="1" w:after="100" w:afterAutospacing="1"/>
              <w:jc w:val="center"/>
              <w:rPr>
                <w:rFonts w:ascii="Times New Roman" w:hAnsi="Times New Roman" w:cs="Times New Roman"/>
              </w:rPr>
            </w:pPr>
            <w:r w:rsidRPr="0022478B">
              <w:rPr>
                <w:rFonts w:ascii="Times New Roman" w:hAnsi="Times New Roman" w:cs="Times New Roman"/>
              </w:rPr>
              <w:t>$</w:t>
            </w:r>
            <w:r w:rsidR="00B609F7">
              <w:rPr>
                <w:rFonts w:ascii="Times New Roman" w:hAnsi="Times New Roman" w:cs="Times New Roman"/>
              </w:rPr>
              <w:t>38</w:t>
            </w:r>
            <w:r w:rsidRPr="0022478B">
              <w:rPr>
                <w:rFonts w:ascii="Times New Roman" w:hAnsi="Times New Roman" w:cs="Times New Roman"/>
              </w:rPr>
              <w:t>.</w:t>
            </w:r>
            <w:r w:rsidR="00B609F7">
              <w:rPr>
                <w:rFonts w:ascii="Times New Roman" w:hAnsi="Times New Roman" w:cs="Times New Roman"/>
              </w:rPr>
              <w:t>81</w:t>
            </w:r>
          </w:p>
        </w:tc>
        <w:tc>
          <w:tcPr>
            <w:tcW w:w="1146" w:type="dxa"/>
            <w:tcBorders>
              <w:top w:val="outset" w:color="EFEFEF" w:sz="6" w:space="0"/>
              <w:left w:val="outset" w:color="EFEFEF" w:sz="6" w:space="0"/>
              <w:bottom w:val="outset" w:color="EFEFEF" w:sz="6" w:space="0"/>
              <w:right w:val="outset" w:color="EFEFEF" w:sz="6" w:space="0"/>
            </w:tcBorders>
            <w:shd w:val="clear" w:color="auto" w:fill="B6CBF5"/>
          </w:tcPr>
          <w:p w:rsidRPr="0022478B" w:rsidR="009B2B51" w:rsidP="00B609F7" w:rsidRDefault="009B2B51" w14:paraId="5F1602B8" w14:textId="15ECFF9F">
            <w:pPr>
              <w:spacing w:before="100" w:beforeAutospacing="1" w:after="100" w:afterAutospacing="1"/>
              <w:jc w:val="center"/>
              <w:rPr>
                <w:rFonts w:ascii="Times New Roman" w:hAnsi="Times New Roman" w:cs="Times New Roman"/>
              </w:rPr>
            </w:pPr>
            <w:r>
              <w:rPr>
                <w:rFonts w:ascii="Times New Roman" w:hAnsi="Times New Roman" w:cs="Times New Roman"/>
              </w:rPr>
              <w:t>$1,</w:t>
            </w:r>
            <w:r w:rsidR="00B609F7">
              <w:rPr>
                <w:rFonts w:ascii="Times New Roman" w:hAnsi="Times New Roman" w:cs="Times New Roman"/>
              </w:rPr>
              <w:t>198.44</w:t>
            </w:r>
          </w:p>
        </w:tc>
        <w:tc>
          <w:tcPr>
            <w:tcW w:w="1297" w:type="dxa"/>
            <w:tcBorders>
              <w:top w:val="outset" w:color="EFEFEF" w:sz="6" w:space="0"/>
              <w:left w:val="outset" w:color="EFEFEF" w:sz="6" w:space="0"/>
              <w:bottom w:val="outset" w:color="EFEFEF" w:sz="6" w:space="0"/>
              <w:right w:val="outset" w:color="EFEFEF" w:sz="6" w:space="0"/>
            </w:tcBorders>
            <w:shd w:val="clear" w:color="auto" w:fill="B6CBF5"/>
            <w:hideMark/>
          </w:tcPr>
          <w:p w:rsidRPr="0022478B" w:rsidR="009B2B51" w:rsidP="0022478B" w:rsidRDefault="009B2B51" w14:paraId="6A733A9D" w14:textId="77777777">
            <w:pPr>
              <w:spacing w:before="100" w:beforeAutospacing="1" w:after="100" w:afterAutospacing="1"/>
              <w:jc w:val="center"/>
              <w:rPr>
                <w:rFonts w:ascii="Times New Roman" w:hAnsi="Times New Roman" w:cs="Times New Roman"/>
              </w:rPr>
            </w:pPr>
            <w:r w:rsidRPr="0022478B">
              <w:rPr>
                <w:rFonts w:ascii="Times New Roman" w:hAnsi="Times New Roman" w:cs="Times New Roman"/>
              </w:rPr>
              <w:t>$40</w:t>
            </w:r>
          </w:p>
        </w:tc>
      </w:tr>
      <w:tr w:rsidRPr="0022478B" w:rsidR="009B2B51" w:rsidTr="009B2B51" w14:paraId="5BBE00A0" w14:textId="77777777">
        <w:trPr>
          <w:tblCellSpacing w:w="0" w:type="dxa"/>
          <w:jc w:val="center"/>
        </w:trPr>
        <w:tc>
          <w:tcPr>
            <w:tcW w:w="2860" w:type="dxa"/>
            <w:tcBorders>
              <w:top w:val="outset" w:color="EFEFEF" w:sz="6" w:space="0"/>
              <w:left w:val="outset" w:color="EFEFEF" w:sz="6" w:space="0"/>
              <w:bottom w:val="outset" w:color="EFEFEF" w:sz="6" w:space="0"/>
              <w:right w:val="outset" w:color="EFEFEF" w:sz="6" w:space="0"/>
            </w:tcBorders>
            <w:shd w:val="clear" w:color="auto" w:fill="E9EDF4"/>
            <w:hideMark/>
          </w:tcPr>
          <w:p w:rsidRPr="0022478B" w:rsidR="009B2B51" w:rsidP="0022478B" w:rsidRDefault="009B2B51" w14:paraId="642E0AF4" w14:textId="77777777">
            <w:pPr>
              <w:spacing w:before="100" w:beforeAutospacing="1" w:after="100" w:afterAutospacing="1"/>
              <w:rPr>
                <w:rFonts w:ascii="Times New Roman" w:hAnsi="Times New Roman" w:cs="Times New Roman"/>
              </w:rPr>
            </w:pPr>
            <w:r w:rsidRPr="0022478B">
              <w:rPr>
                <w:rFonts w:ascii="Times New Roman" w:hAnsi="Times New Roman" w:cs="Times New Roman"/>
              </w:rPr>
              <w:t>Postdoc + Child(</w:t>
            </w:r>
            <w:proofErr w:type="spellStart"/>
            <w:r w:rsidRPr="0022478B">
              <w:rPr>
                <w:rFonts w:ascii="Times New Roman" w:hAnsi="Times New Roman" w:cs="Times New Roman"/>
              </w:rPr>
              <w:t>ren</w:t>
            </w:r>
            <w:proofErr w:type="spellEnd"/>
            <w:r w:rsidRPr="0022478B">
              <w:rPr>
                <w:rFonts w:ascii="Times New Roman" w:hAnsi="Times New Roman" w:cs="Times New Roman"/>
              </w:rPr>
              <w:t xml:space="preserve">) </w:t>
            </w:r>
          </w:p>
        </w:tc>
        <w:tc>
          <w:tcPr>
            <w:tcW w:w="1279" w:type="dxa"/>
            <w:tcBorders>
              <w:top w:val="outset" w:color="EFEFEF" w:sz="6" w:space="0"/>
              <w:left w:val="outset" w:color="EFEFEF" w:sz="6" w:space="0"/>
              <w:bottom w:val="outset" w:color="EFEFEF" w:sz="6" w:space="0"/>
              <w:right w:val="outset" w:color="EFEFEF" w:sz="6" w:space="0"/>
            </w:tcBorders>
            <w:shd w:val="clear" w:color="auto" w:fill="E9EDF4"/>
          </w:tcPr>
          <w:p w:rsidRPr="0022478B" w:rsidR="009B2B51" w:rsidP="00B609F7" w:rsidRDefault="009B2B51" w14:paraId="556714B9" w14:textId="61E111EE">
            <w:pPr>
              <w:spacing w:before="100" w:beforeAutospacing="1" w:after="100" w:afterAutospacing="1"/>
              <w:jc w:val="center"/>
              <w:rPr>
                <w:rFonts w:ascii="Times New Roman" w:hAnsi="Times New Roman" w:cs="Times New Roman"/>
              </w:rPr>
            </w:pPr>
            <w:r>
              <w:rPr>
                <w:rFonts w:ascii="Times New Roman" w:hAnsi="Times New Roman" w:cs="Times New Roman"/>
              </w:rPr>
              <w:t xml:space="preserve">$   </w:t>
            </w:r>
            <w:r w:rsidR="00B609F7">
              <w:rPr>
                <w:rFonts w:ascii="Times New Roman" w:hAnsi="Times New Roman" w:cs="Times New Roman"/>
              </w:rPr>
              <w:t>943.23</w:t>
            </w:r>
          </w:p>
        </w:tc>
        <w:tc>
          <w:tcPr>
            <w:tcW w:w="1478" w:type="dxa"/>
            <w:tcBorders>
              <w:top w:val="outset" w:color="EFEFEF" w:sz="6" w:space="0"/>
              <w:left w:val="outset" w:color="EFEFEF" w:sz="6" w:space="0"/>
              <w:bottom w:val="outset" w:color="EFEFEF" w:sz="6" w:space="0"/>
              <w:right w:val="outset" w:color="EFEFEF" w:sz="6" w:space="0"/>
            </w:tcBorders>
            <w:shd w:val="clear" w:color="auto" w:fill="E9EDF4"/>
            <w:hideMark/>
          </w:tcPr>
          <w:p w:rsidRPr="0022478B" w:rsidR="009B2B51" w:rsidP="00B609F7" w:rsidRDefault="009B2B51" w14:paraId="6E92CE21" w14:textId="636273D2">
            <w:pPr>
              <w:spacing w:before="100" w:beforeAutospacing="1" w:after="100" w:afterAutospacing="1"/>
              <w:jc w:val="center"/>
              <w:rPr>
                <w:rFonts w:ascii="Times New Roman" w:hAnsi="Times New Roman" w:cs="Times New Roman"/>
              </w:rPr>
            </w:pPr>
            <w:r w:rsidRPr="0022478B">
              <w:rPr>
                <w:rFonts w:ascii="Times New Roman" w:hAnsi="Times New Roman" w:cs="Times New Roman"/>
              </w:rPr>
              <w:t>$</w:t>
            </w:r>
            <w:r w:rsidR="00B609F7">
              <w:rPr>
                <w:rFonts w:ascii="Times New Roman" w:hAnsi="Times New Roman" w:cs="Times New Roman"/>
              </w:rPr>
              <w:t>18.86</w:t>
            </w:r>
          </w:p>
        </w:tc>
        <w:tc>
          <w:tcPr>
            <w:tcW w:w="1146" w:type="dxa"/>
            <w:tcBorders>
              <w:top w:val="outset" w:color="EFEFEF" w:sz="6" w:space="0"/>
              <w:left w:val="outset" w:color="EFEFEF" w:sz="6" w:space="0"/>
              <w:bottom w:val="outset" w:color="EFEFEF" w:sz="6" w:space="0"/>
              <w:right w:val="outset" w:color="EFEFEF" w:sz="6" w:space="0"/>
            </w:tcBorders>
            <w:shd w:val="clear" w:color="auto" w:fill="E9EDF4"/>
          </w:tcPr>
          <w:p w:rsidRPr="0022478B" w:rsidR="009B2B51" w:rsidP="00B609F7" w:rsidRDefault="009B2B51" w14:paraId="10FAA86D" w14:textId="3AD1C1A2">
            <w:pPr>
              <w:spacing w:before="100" w:beforeAutospacing="1" w:after="100" w:afterAutospacing="1"/>
              <w:jc w:val="center"/>
              <w:rPr>
                <w:rFonts w:ascii="Times New Roman" w:hAnsi="Times New Roman" w:cs="Times New Roman"/>
              </w:rPr>
            </w:pPr>
            <w:r>
              <w:rPr>
                <w:rFonts w:ascii="Times New Roman" w:hAnsi="Times New Roman" w:cs="Times New Roman"/>
              </w:rPr>
              <w:t>$   87</w:t>
            </w:r>
            <w:r w:rsidR="00B609F7">
              <w:rPr>
                <w:rFonts w:ascii="Times New Roman" w:hAnsi="Times New Roman" w:cs="Times New Roman"/>
              </w:rPr>
              <w:t>3.89</w:t>
            </w:r>
          </w:p>
        </w:tc>
        <w:tc>
          <w:tcPr>
            <w:tcW w:w="1297" w:type="dxa"/>
            <w:tcBorders>
              <w:top w:val="outset" w:color="EFEFEF" w:sz="6" w:space="0"/>
              <w:left w:val="outset" w:color="EFEFEF" w:sz="6" w:space="0"/>
              <w:bottom w:val="outset" w:color="EFEFEF" w:sz="6" w:space="0"/>
              <w:right w:val="outset" w:color="EFEFEF" w:sz="6" w:space="0"/>
            </w:tcBorders>
            <w:shd w:val="clear" w:color="auto" w:fill="E9EDF4"/>
            <w:hideMark/>
          </w:tcPr>
          <w:p w:rsidRPr="0022478B" w:rsidR="009B2B51" w:rsidP="0022478B" w:rsidRDefault="009B2B51" w14:paraId="7B1C0861" w14:textId="77777777">
            <w:pPr>
              <w:spacing w:before="100" w:beforeAutospacing="1" w:after="100" w:afterAutospacing="1"/>
              <w:jc w:val="center"/>
              <w:rPr>
                <w:rFonts w:ascii="Times New Roman" w:hAnsi="Times New Roman" w:cs="Times New Roman"/>
              </w:rPr>
            </w:pPr>
            <w:r w:rsidRPr="0022478B">
              <w:rPr>
                <w:rFonts w:ascii="Times New Roman" w:hAnsi="Times New Roman" w:cs="Times New Roman"/>
              </w:rPr>
              <w:t xml:space="preserve">$40 </w:t>
            </w:r>
          </w:p>
        </w:tc>
      </w:tr>
      <w:tr w:rsidRPr="0022478B" w:rsidR="009B2B51" w:rsidTr="009B2B51" w14:paraId="0BA265CF" w14:textId="77777777">
        <w:trPr>
          <w:tblCellSpacing w:w="0" w:type="dxa"/>
          <w:jc w:val="center"/>
        </w:trPr>
        <w:tc>
          <w:tcPr>
            <w:tcW w:w="2860" w:type="dxa"/>
            <w:tcBorders>
              <w:top w:val="outset" w:color="EFEFEF" w:sz="6" w:space="0"/>
              <w:left w:val="outset" w:color="EFEFEF" w:sz="6" w:space="0"/>
              <w:bottom w:val="outset" w:color="EFEFEF" w:sz="6" w:space="0"/>
              <w:right w:val="outset" w:color="EFEFEF" w:sz="6" w:space="0"/>
            </w:tcBorders>
            <w:shd w:val="clear" w:color="auto" w:fill="B6CBF5"/>
            <w:hideMark/>
          </w:tcPr>
          <w:p w:rsidRPr="0022478B" w:rsidR="009B2B51" w:rsidP="0022478B" w:rsidRDefault="009B2B51" w14:paraId="232AD145" w14:textId="77777777">
            <w:pPr>
              <w:spacing w:before="100" w:beforeAutospacing="1" w:after="100" w:afterAutospacing="1"/>
              <w:rPr>
                <w:rFonts w:ascii="Times New Roman" w:hAnsi="Times New Roman" w:cs="Times New Roman"/>
              </w:rPr>
            </w:pPr>
            <w:r w:rsidRPr="0022478B">
              <w:rPr>
                <w:rFonts w:ascii="Times New Roman" w:hAnsi="Times New Roman" w:cs="Times New Roman"/>
              </w:rPr>
              <w:t>Postdoc + Partner + Child(</w:t>
            </w:r>
            <w:proofErr w:type="spellStart"/>
            <w:r w:rsidRPr="0022478B">
              <w:rPr>
                <w:rFonts w:ascii="Times New Roman" w:hAnsi="Times New Roman" w:cs="Times New Roman"/>
              </w:rPr>
              <w:t>ren</w:t>
            </w:r>
            <w:proofErr w:type="spellEnd"/>
            <w:r w:rsidRPr="0022478B">
              <w:rPr>
                <w:rFonts w:ascii="Times New Roman" w:hAnsi="Times New Roman" w:cs="Times New Roman"/>
              </w:rPr>
              <w:t xml:space="preserve">) </w:t>
            </w:r>
          </w:p>
        </w:tc>
        <w:tc>
          <w:tcPr>
            <w:tcW w:w="1279" w:type="dxa"/>
            <w:tcBorders>
              <w:top w:val="outset" w:color="EFEFEF" w:sz="6" w:space="0"/>
              <w:left w:val="outset" w:color="EFEFEF" w:sz="6" w:space="0"/>
              <w:bottom w:val="outset" w:color="EFEFEF" w:sz="6" w:space="0"/>
              <w:right w:val="outset" w:color="EFEFEF" w:sz="6" w:space="0"/>
            </w:tcBorders>
            <w:shd w:val="clear" w:color="auto" w:fill="B6CBF5"/>
          </w:tcPr>
          <w:p w:rsidRPr="0022478B" w:rsidR="009B2B51" w:rsidP="00A67273" w:rsidRDefault="009B2B51" w14:paraId="3CAB010F" w14:textId="55F2DF70">
            <w:pPr>
              <w:spacing w:before="100" w:beforeAutospacing="1" w:after="100" w:afterAutospacing="1"/>
              <w:jc w:val="center"/>
              <w:rPr>
                <w:rFonts w:ascii="Times New Roman" w:hAnsi="Times New Roman" w:cs="Times New Roman"/>
              </w:rPr>
            </w:pPr>
            <w:r>
              <w:rPr>
                <w:rFonts w:ascii="Times New Roman" w:hAnsi="Times New Roman" w:cs="Times New Roman"/>
              </w:rPr>
              <w:t>$1,</w:t>
            </w:r>
            <w:r w:rsidR="00A67273">
              <w:rPr>
                <w:rFonts w:ascii="Times New Roman" w:hAnsi="Times New Roman" w:cs="Times New Roman"/>
              </w:rPr>
              <w:t>643.89</w:t>
            </w:r>
          </w:p>
        </w:tc>
        <w:tc>
          <w:tcPr>
            <w:tcW w:w="1478" w:type="dxa"/>
            <w:tcBorders>
              <w:top w:val="outset" w:color="EFEFEF" w:sz="6" w:space="0"/>
              <w:left w:val="outset" w:color="EFEFEF" w:sz="6" w:space="0"/>
              <w:bottom w:val="outset" w:color="EFEFEF" w:sz="6" w:space="0"/>
              <w:right w:val="outset" w:color="EFEFEF" w:sz="6" w:space="0"/>
            </w:tcBorders>
            <w:shd w:val="clear" w:color="auto" w:fill="B6CBF5"/>
            <w:hideMark/>
          </w:tcPr>
          <w:p w:rsidRPr="0022478B" w:rsidR="009B2B51" w:rsidP="00A67273" w:rsidRDefault="009B2B51" w14:paraId="075470BF" w14:textId="6F765479">
            <w:pPr>
              <w:spacing w:before="100" w:beforeAutospacing="1" w:after="100" w:afterAutospacing="1"/>
              <w:jc w:val="center"/>
              <w:rPr>
                <w:rFonts w:ascii="Times New Roman" w:hAnsi="Times New Roman" w:cs="Times New Roman"/>
              </w:rPr>
            </w:pPr>
            <w:r w:rsidRPr="0022478B">
              <w:rPr>
                <w:rFonts w:ascii="Times New Roman" w:hAnsi="Times New Roman" w:cs="Times New Roman"/>
              </w:rPr>
              <w:t>$4</w:t>
            </w:r>
            <w:r w:rsidR="00A67273">
              <w:rPr>
                <w:rFonts w:ascii="Times New Roman" w:hAnsi="Times New Roman" w:cs="Times New Roman"/>
              </w:rPr>
              <w:t>9.32</w:t>
            </w:r>
          </w:p>
        </w:tc>
        <w:tc>
          <w:tcPr>
            <w:tcW w:w="1146" w:type="dxa"/>
            <w:tcBorders>
              <w:top w:val="outset" w:color="EFEFEF" w:sz="6" w:space="0"/>
              <w:left w:val="outset" w:color="EFEFEF" w:sz="6" w:space="0"/>
              <w:bottom w:val="outset" w:color="EFEFEF" w:sz="6" w:space="0"/>
              <w:right w:val="outset" w:color="EFEFEF" w:sz="6" w:space="0"/>
            </w:tcBorders>
            <w:shd w:val="clear" w:color="auto" w:fill="B6CBF5"/>
          </w:tcPr>
          <w:p w:rsidRPr="0022478B" w:rsidR="009B2B51" w:rsidP="00A67273" w:rsidRDefault="009B2B51" w14:paraId="4D761020" w14:textId="1E467CA5">
            <w:pPr>
              <w:spacing w:before="100" w:beforeAutospacing="1" w:after="100" w:afterAutospacing="1"/>
              <w:jc w:val="center"/>
              <w:rPr>
                <w:rFonts w:ascii="Times New Roman" w:hAnsi="Times New Roman" w:cs="Times New Roman"/>
              </w:rPr>
            </w:pPr>
            <w:r>
              <w:rPr>
                <w:rFonts w:ascii="Times New Roman" w:hAnsi="Times New Roman" w:cs="Times New Roman"/>
              </w:rPr>
              <w:t>$1,</w:t>
            </w:r>
            <w:r w:rsidR="00A67273">
              <w:rPr>
                <w:rFonts w:ascii="Times New Roman" w:hAnsi="Times New Roman" w:cs="Times New Roman"/>
              </w:rPr>
              <w:t>523.05</w:t>
            </w:r>
          </w:p>
        </w:tc>
        <w:tc>
          <w:tcPr>
            <w:tcW w:w="1297" w:type="dxa"/>
            <w:tcBorders>
              <w:top w:val="outset" w:color="EFEFEF" w:sz="6" w:space="0"/>
              <w:left w:val="outset" w:color="EFEFEF" w:sz="6" w:space="0"/>
              <w:bottom w:val="outset" w:color="EFEFEF" w:sz="6" w:space="0"/>
              <w:right w:val="outset" w:color="EFEFEF" w:sz="6" w:space="0"/>
            </w:tcBorders>
            <w:shd w:val="clear" w:color="auto" w:fill="B6CBF5"/>
            <w:hideMark/>
          </w:tcPr>
          <w:p w:rsidRPr="0022478B" w:rsidR="009B2B51" w:rsidP="0022478B" w:rsidRDefault="009B2B51" w14:paraId="45557311" w14:textId="77777777">
            <w:pPr>
              <w:spacing w:before="100" w:beforeAutospacing="1" w:after="100" w:afterAutospacing="1"/>
              <w:jc w:val="center"/>
              <w:rPr>
                <w:rFonts w:ascii="Times New Roman" w:hAnsi="Times New Roman" w:cs="Times New Roman"/>
              </w:rPr>
            </w:pPr>
            <w:r w:rsidRPr="0022478B">
              <w:rPr>
                <w:rFonts w:ascii="Times New Roman" w:hAnsi="Times New Roman" w:cs="Times New Roman"/>
              </w:rPr>
              <w:t xml:space="preserve">$60 </w:t>
            </w:r>
          </w:p>
        </w:tc>
      </w:tr>
    </w:tbl>
    <w:p w:rsidR="009B2B51" w:rsidP="009B2B51" w:rsidRDefault="009B2B51" w14:paraId="5904AF31" w14:textId="53F0BC04">
      <w:pPr>
        <w:tabs>
          <w:tab w:val="left" w:pos="3985"/>
        </w:tabs>
        <w:spacing w:before="100" w:beforeAutospacing="1" w:after="100" w:afterAutospacing="1"/>
        <w:rPr>
          <w:rFonts w:ascii="Times New Roman" w:hAnsi="Times New Roman" w:cs="Times New Roman"/>
        </w:rPr>
      </w:pPr>
      <w:r>
        <w:rPr>
          <w:rFonts w:ascii="Times New Roman" w:hAnsi="Times New Roman" w:cs="Times New Roman"/>
        </w:rPr>
        <w:t>Additional benefits include: Dental HMO and POS; Vision PPO</w:t>
      </w:r>
      <w:r w:rsidR="00B55D4B">
        <w:rPr>
          <w:rFonts w:ascii="Times New Roman" w:hAnsi="Times New Roman" w:cs="Times New Roman"/>
        </w:rPr>
        <w:t>;</w:t>
      </w:r>
      <w:r>
        <w:rPr>
          <w:rFonts w:ascii="Times New Roman" w:hAnsi="Times New Roman" w:cs="Times New Roman"/>
        </w:rPr>
        <w:t xml:space="preserve"> Life and Accidental Death &amp; Dismemberment (AD&amp;D) Insurance (Basic); Short Term Disability; Long Term Disability (Voluntary). Postdoctoral scholar contributions are not required for Dental, Vision, Life/AD&amp;D or Short Term Disability.  Voluntary Long Term Disability is paid for by the postdoctoral scholar and will cost $8.55 per month, but is not available to new enrollees at Open Enrollment.</w:t>
      </w:r>
    </w:p>
    <w:p w:rsidRPr="0022478B" w:rsidR="0022478B" w:rsidP="0022478B" w:rsidRDefault="0022478B" w14:paraId="70287882" w14:textId="77777777">
      <w:pPr>
        <w:tabs>
          <w:tab w:val="left" w:pos="3985"/>
        </w:tabs>
        <w:spacing w:before="100" w:beforeAutospacing="1" w:after="100" w:afterAutospacing="1"/>
        <w:jc w:val="center"/>
        <w:rPr>
          <w:rFonts w:ascii="Times New Roman" w:hAnsi="Times New Roman" w:cs="Times New Roman"/>
        </w:rPr>
      </w:pPr>
      <w:r w:rsidRPr="0022478B">
        <w:rPr>
          <w:rFonts w:ascii="Times New Roman" w:hAnsi="Times New Roman" w:cs="Times New Roman"/>
        </w:rPr>
        <w:t>The Collection/Payment Process</w:t>
      </w:r>
    </w:p>
    <w:p w:rsidRPr="0022478B" w:rsidR="0022478B" w:rsidP="0022478B" w:rsidRDefault="0022478B" w14:paraId="5BA409E9" w14:textId="77777777">
      <w:pPr>
        <w:spacing w:before="100" w:beforeAutospacing="1" w:after="100" w:afterAutospacing="1"/>
        <w:rPr>
          <w:rFonts w:ascii="Times New Roman" w:hAnsi="Times New Roman" w:cs="Times New Roman"/>
        </w:rPr>
      </w:pPr>
      <w:r w:rsidRPr="0022478B">
        <w:rPr>
          <w:rFonts w:ascii="Times New Roman" w:hAnsi="Times New Roman" w:cs="Times New Roman"/>
        </w:rPr>
        <w:t xml:space="preserve">Postdocs who are paid through the campus payroll system will have their deductions for the contributions taken from their paychecks. Garnett-Powers &amp; Associates, Inc. (GPA) will be collecting contributions for those postdocs </w:t>
      </w:r>
      <w:r w:rsidRPr="0022478B">
        <w:rPr>
          <w:rFonts w:ascii="Times New Roman" w:hAnsi="Times New Roman" w:cs="Times New Roman"/>
          <w:b/>
          <w:bCs/>
        </w:rPr>
        <w:t>without sufficient payroll</w:t>
      </w:r>
      <w:r w:rsidRPr="0022478B">
        <w:rPr>
          <w:rFonts w:ascii="Times New Roman" w:hAnsi="Times New Roman" w:cs="Times New Roman"/>
        </w:rPr>
        <w:t xml:space="preserve"> to pay for the contributions. GPA will not only be collecting the HMO contributions, but also the PPO and Voluntary Long-Term Disability contribution amounts. </w:t>
      </w:r>
    </w:p>
    <w:p w:rsidRPr="0022478B" w:rsidR="0022478B" w:rsidP="0022478B" w:rsidRDefault="0022478B" w14:paraId="3F1D250F" w14:textId="77777777">
      <w:pPr>
        <w:spacing w:before="100" w:beforeAutospacing="1" w:after="100" w:afterAutospacing="1"/>
        <w:rPr>
          <w:rFonts w:ascii="Times New Roman" w:hAnsi="Times New Roman" w:cs="Times New Roman"/>
        </w:rPr>
      </w:pPr>
      <w:r w:rsidRPr="0022478B">
        <w:rPr>
          <w:rFonts w:ascii="Times New Roman" w:hAnsi="Times New Roman" w:cs="Times New Roman"/>
        </w:rPr>
        <w:t>GPA will initially mail an invoice to the postdoc’s home, displaying the amounts owed for each line of coverage. All consequent billings will be done via e-mail. The initial invoice will contain a web address where the postdoc must register to supply his/her e-mail address, as well as indicate the preferred method of payment: Credit card, debit card or check. Instructions will be available to assist the postdoc in indicating the payment method and making the payment online. The payment will be due by the first of the month as payment for that month’s coverage.</w:t>
      </w:r>
    </w:p>
    <w:p w:rsidRPr="0022478B" w:rsidR="0022478B" w:rsidP="0022478B" w:rsidRDefault="0022478B" w14:paraId="200E95A4" w14:textId="43D1B326">
      <w:pPr>
        <w:spacing w:before="100" w:beforeAutospacing="1" w:after="100" w:afterAutospacing="1"/>
        <w:rPr>
          <w:rFonts w:ascii="Times New Roman" w:hAnsi="Times New Roman" w:cs="Times New Roman"/>
        </w:rPr>
      </w:pPr>
      <w:r w:rsidRPr="0022478B">
        <w:rPr>
          <w:rFonts w:ascii="Times New Roman" w:hAnsi="Times New Roman" w:cs="Times New Roman"/>
          <w:b/>
          <w:bCs/>
        </w:rPr>
        <w:t xml:space="preserve">If you have any questions concerning the information above, please review the </w:t>
      </w:r>
      <w:hyperlink w:history="1" r:id="rId4">
        <w:r w:rsidRPr="004E63EC">
          <w:rPr>
            <w:rStyle w:val="Hyperlink"/>
            <w:rFonts w:ascii="Times New Roman" w:hAnsi="Times New Roman" w:cs="Times New Roman"/>
            <w:b/>
            <w:bCs/>
          </w:rPr>
          <w:t>Freq</w:t>
        </w:r>
        <w:bookmarkStart w:name="_GoBack" w:id="0"/>
        <w:bookmarkEnd w:id="0"/>
        <w:r w:rsidRPr="004E63EC">
          <w:rPr>
            <w:rStyle w:val="Hyperlink"/>
            <w:rFonts w:ascii="Times New Roman" w:hAnsi="Times New Roman" w:cs="Times New Roman"/>
            <w:b/>
            <w:bCs/>
          </w:rPr>
          <w:t>uently Asked Questions</w:t>
        </w:r>
      </w:hyperlink>
      <w:r w:rsidRPr="0022478B">
        <w:rPr>
          <w:rFonts w:ascii="Times New Roman" w:hAnsi="Times New Roman" w:cs="Times New Roman"/>
          <w:b/>
          <w:bCs/>
        </w:rPr>
        <w:t xml:space="preserve"> or contact Customer Service: </w:t>
      </w:r>
    </w:p>
    <w:p w:rsidRPr="0022478B" w:rsidR="0022478B" w:rsidP="0022478B" w:rsidRDefault="0022478B" w14:paraId="6A8F88B8" w14:textId="77777777">
      <w:pPr>
        <w:spacing w:before="100" w:beforeAutospacing="1" w:after="100" w:afterAutospacing="1"/>
        <w:jc w:val="center"/>
        <w:rPr>
          <w:rFonts w:ascii="Times New Roman" w:hAnsi="Times New Roman" w:cs="Times New Roman"/>
        </w:rPr>
      </w:pPr>
      <w:r w:rsidRPr="0022478B">
        <w:rPr>
          <w:rFonts w:ascii="Times New Roman" w:hAnsi="Times New Roman" w:cs="Times New Roman"/>
          <w:b/>
          <w:bCs/>
        </w:rPr>
        <w:t xml:space="preserve">Garnett-Powers &amp; Associates, Inc. </w:t>
      </w:r>
      <w:r w:rsidRPr="0022478B">
        <w:rPr>
          <w:rFonts w:ascii="Times New Roman" w:hAnsi="Times New Roman" w:cs="Times New Roman"/>
          <w:b/>
          <w:bCs/>
        </w:rPr>
        <w:br/>
      </w:r>
      <w:r w:rsidRPr="0022478B">
        <w:rPr>
          <w:rFonts w:ascii="Times New Roman" w:hAnsi="Times New Roman" w:cs="Times New Roman"/>
          <w:b/>
          <w:bCs/>
        </w:rPr>
        <w:t xml:space="preserve">Please call us Monday - Friday, 8 am - 5 pm </w:t>
      </w:r>
      <w:r w:rsidRPr="0022478B">
        <w:rPr>
          <w:rFonts w:ascii="Times New Roman" w:hAnsi="Times New Roman" w:cs="Times New Roman"/>
          <w:b/>
          <w:bCs/>
        </w:rPr>
        <w:br/>
      </w:r>
      <w:r w:rsidRPr="0022478B">
        <w:rPr>
          <w:rFonts w:ascii="Times New Roman" w:hAnsi="Times New Roman" w:cs="Times New Roman"/>
          <w:b/>
          <w:bCs/>
        </w:rPr>
        <w:t>Toll free at 1-800-254-1758</w:t>
      </w:r>
      <w:r w:rsidRPr="0022478B">
        <w:rPr>
          <w:rFonts w:ascii="Times New Roman" w:hAnsi="Times New Roman" w:cs="Times New Roman"/>
        </w:rPr>
        <w:br/>
      </w:r>
      <w:hyperlink w:history="1" r:id="rId5">
        <w:r w:rsidRPr="0022478B">
          <w:rPr>
            <w:rFonts w:ascii="Times New Roman" w:hAnsi="Times New Roman" w:cs="Times New Roman"/>
            <w:color w:val="0000FF"/>
            <w:u w:val="single"/>
          </w:rPr>
          <w:t>Contact PSBP Services</w:t>
        </w:r>
      </w:hyperlink>
      <w:r w:rsidRPr="0022478B">
        <w:rPr>
          <w:rFonts w:ascii="Times New Roman" w:hAnsi="Times New Roman" w:cs="Times New Roman"/>
        </w:rPr>
        <w:br/>
      </w:r>
      <w:hyperlink w:history="1" r:id="rId6">
        <w:r w:rsidRPr="0022478B">
          <w:rPr>
            <w:rFonts w:ascii="Times New Roman" w:hAnsi="Times New Roman" w:cs="Times New Roman"/>
            <w:color w:val="0000FF"/>
            <w:u w:val="single"/>
          </w:rPr>
          <w:t>psbp@garnett-powers.com</w:t>
        </w:r>
      </w:hyperlink>
    </w:p>
    <w:p w:rsidR="003926FE" w:rsidRDefault="00D3199D" w14:paraId="1F7CFA60" w14:textId="77777777"/>
    <w:sectPr w:rsidR="003926FE" w:rsidSect="0022478B">
      <w:type w:val="continuous"/>
      <w:pgSz w:w="12240" w:h="15840" w:orient="portrait"/>
      <w:pgMar w:top="1440" w:right="1440" w:bottom="1440" w:left="1440" w:header="720" w:footer="720" w:gutter="0"/>
      <w:cols w:space="720"/>
      <w:docGrid w:linePitch="360"/>
      <w:headerReference w:type="default" r:id="Rf1fe5f1a17834434"/>
      <w:footerReference w:type="default" r:id="R7432376b7bbb499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120"/>
      <w:gridCol w:w="3120"/>
      <w:gridCol w:w="3120"/>
    </w:tblGrid>
    <w:tr w:rsidR="1831A14F" w:rsidTr="1831A14F" w14:paraId="538936DB">
      <w:tc>
        <w:tcPr>
          <w:tcW w:w="3120" w:type="dxa"/>
          <w:tcMar/>
        </w:tcPr>
        <w:p w:rsidR="1831A14F" w:rsidP="1831A14F" w:rsidRDefault="1831A14F" w14:paraId="209A2146" w14:textId="5E24E997">
          <w:pPr>
            <w:pStyle w:val="Header"/>
            <w:bidi w:val="0"/>
            <w:ind w:left="-115"/>
            <w:jc w:val="left"/>
          </w:pPr>
        </w:p>
      </w:tc>
      <w:tc>
        <w:tcPr>
          <w:tcW w:w="3120" w:type="dxa"/>
          <w:tcMar/>
        </w:tcPr>
        <w:p w:rsidR="1831A14F" w:rsidP="1831A14F" w:rsidRDefault="1831A14F" w14:paraId="78487F4B" w14:textId="65C2E1CA">
          <w:pPr>
            <w:pStyle w:val="Header"/>
            <w:bidi w:val="0"/>
            <w:jc w:val="center"/>
          </w:pPr>
        </w:p>
      </w:tc>
      <w:tc>
        <w:tcPr>
          <w:tcW w:w="3120" w:type="dxa"/>
          <w:tcMar/>
        </w:tcPr>
        <w:p w:rsidR="1831A14F" w:rsidP="1831A14F" w:rsidRDefault="1831A14F" w14:paraId="4151041E" w14:textId="6DF6F39B">
          <w:pPr>
            <w:pStyle w:val="Header"/>
            <w:bidi w:val="0"/>
            <w:ind w:right="-115"/>
            <w:jc w:val="right"/>
          </w:pPr>
        </w:p>
      </w:tc>
    </w:tr>
  </w:tbl>
  <w:p w:rsidR="1831A14F" w:rsidP="1831A14F" w:rsidRDefault="1831A14F" w14:paraId="072A331E" w14:textId="447438C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120"/>
      <w:gridCol w:w="3120"/>
      <w:gridCol w:w="3120"/>
    </w:tblGrid>
    <w:tr w:rsidR="1831A14F" w:rsidTr="1831A14F" w14:paraId="329B0830">
      <w:tc>
        <w:tcPr>
          <w:tcW w:w="3120" w:type="dxa"/>
          <w:tcMar/>
        </w:tcPr>
        <w:p w:rsidR="1831A14F" w:rsidP="1831A14F" w:rsidRDefault="1831A14F" w14:paraId="5C9AC14A" w14:textId="13012199">
          <w:pPr>
            <w:pStyle w:val="Header"/>
            <w:bidi w:val="0"/>
            <w:ind w:left="-115"/>
            <w:jc w:val="left"/>
          </w:pPr>
        </w:p>
      </w:tc>
      <w:tc>
        <w:tcPr>
          <w:tcW w:w="3120" w:type="dxa"/>
          <w:tcMar/>
        </w:tcPr>
        <w:p w:rsidR="1831A14F" w:rsidP="1831A14F" w:rsidRDefault="1831A14F" w14:paraId="361E2162" w14:textId="352C2DE3">
          <w:pPr>
            <w:pStyle w:val="Header"/>
            <w:bidi w:val="0"/>
            <w:jc w:val="center"/>
          </w:pPr>
        </w:p>
      </w:tc>
      <w:tc>
        <w:tcPr>
          <w:tcW w:w="3120" w:type="dxa"/>
          <w:tcMar/>
        </w:tcPr>
        <w:p w:rsidR="1831A14F" w:rsidP="1831A14F" w:rsidRDefault="1831A14F" w14:paraId="6CB980D4" w14:textId="0B186DD9">
          <w:pPr>
            <w:pStyle w:val="Header"/>
            <w:bidi w:val="0"/>
            <w:ind w:right="-115"/>
            <w:jc w:val="right"/>
          </w:pPr>
        </w:p>
      </w:tc>
    </w:tr>
  </w:tbl>
  <w:p w:rsidR="1831A14F" w:rsidP="1831A14F" w:rsidRDefault="1831A14F" w14:paraId="6A6E6AEC" w14:textId="33E580C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proofState w:spelling="clean" w:grammar="dirty"/>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8B"/>
    <w:rsid w:val="0000562F"/>
    <w:rsid w:val="00081646"/>
    <w:rsid w:val="000F2F89"/>
    <w:rsid w:val="0022478B"/>
    <w:rsid w:val="002F1C33"/>
    <w:rsid w:val="003667CE"/>
    <w:rsid w:val="003F4692"/>
    <w:rsid w:val="00471167"/>
    <w:rsid w:val="004E63EC"/>
    <w:rsid w:val="007048FD"/>
    <w:rsid w:val="007C1A11"/>
    <w:rsid w:val="009B2B51"/>
    <w:rsid w:val="00A67273"/>
    <w:rsid w:val="00B52442"/>
    <w:rsid w:val="00B549BF"/>
    <w:rsid w:val="00B55D4B"/>
    <w:rsid w:val="00B609F7"/>
    <w:rsid w:val="00C63FF8"/>
    <w:rsid w:val="00C75E5A"/>
    <w:rsid w:val="00D3199D"/>
    <w:rsid w:val="00D85D51"/>
    <w:rsid w:val="00F13F67"/>
    <w:rsid w:val="00FA0AB6"/>
    <w:rsid w:val="1831A14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AE6665"/>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22478B"/>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2478B"/>
    <w:rPr>
      <w:b/>
      <w:bCs/>
    </w:rPr>
  </w:style>
  <w:style w:type="paragraph" w:styleId="headerbold" w:customStyle="1">
    <w:name w:val="headerbold"/>
    <w:basedOn w:val="Normal"/>
    <w:rsid w:val="0022478B"/>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22478B"/>
    <w:rPr>
      <w:color w:val="0000FF"/>
      <w:u w:val="single"/>
    </w:rPr>
  </w:style>
  <w:style w:type="character" w:styleId="FollowedHyperlink">
    <w:name w:val="FollowedHyperlink"/>
    <w:basedOn w:val="DefaultParagraphFont"/>
    <w:uiPriority w:val="99"/>
    <w:semiHidden/>
    <w:unhideWhenUsed/>
    <w:rsid w:val="004E63EC"/>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4668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hyperlink" Target="https://clients.garnett-powers.com/pd/uc/" TargetMode="External" Id="rId4" /><Relationship Type="http://schemas.openxmlformats.org/officeDocument/2006/relationships/hyperlink" Target="https://www.garnett-powers.com/postdoc/contact.htm" TargetMode="External" Id="rId5" /><Relationship Type="http://schemas.openxmlformats.org/officeDocument/2006/relationships/hyperlink" Target="mailto:psbp@garnett-powers.com?subject=UC%20PSBP" TargetMode="Externa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header" Target="/word/header.xml" Id="Rf1fe5f1a17834434" /><Relationship Type="http://schemas.openxmlformats.org/officeDocument/2006/relationships/footer" Target="/word/footer.xml" Id="R7432376b7bbb49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Karen J Smith</lastModifiedBy>
  <revision>5</revision>
  <dcterms:created xsi:type="dcterms:W3CDTF">2017-11-22T18:39:00.0000000Z</dcterms:created>
  <dcterms:modified xsi:type="dcterms:W3CDTF">2018-07-18T17:03:17.5334109Z</dcterms:modified>
</coreProperties>
</file>